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Оценка коррупционных рисков</w:t>
      </w:r>
      <w:bookmarkEnd w:id="0"/>
      <w:bookmarkEnd w:id="1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7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Оценка коррупционных рисков является важнейшим элементом антикоррупционной политики ФГУП «ЦНИИчермет им. И.Г1.Бардина» (далее Институт) позволяющая обеспечить соответствие реализуемых антикоррупционных мероприятий специфике деятельности Института и рационально использовать ресурсы, направляемые на проведения работы по профилактике коррупции в Институте.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Целью оценки коррупционных рисков является определение конкретных процессов и видов деятельности Института, при реализации которых наиболее высока вероятность совершение работниками Института коррупционных правонарушений.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9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оценки коррупционных рисков.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29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Деятельность Института представляется в виде отдельных процессов, в каждом из которых выделяются составные элементы (подпроцессы)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29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Выделяются « критические точки» для каждого процесса и определяются те моменты при реализации которых наиболее вероятно возникновение коррупционных правонарушений.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29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каждого подпроцесса, реализация которого связана с коррупционным риском, составлены описания возможных коррупционных нарушений, включающее: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2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характеристику выгоды или преимущества, которого может быть получено Институтом или его отдельными работниками при совершении коррупционного правонарушения;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-должности в Институте которые являются ключевыми для совершения коррупционного правонарушения;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-участие каких должностных лиц Института необходимо, чтобы коррупционное правонарушение стало возможным;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65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вероятные формы осуществления коррупционных платежей.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29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Разработать комплекс мер по устранению и минимизации коррупционных рисков.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9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Карта коррупционных рисков.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29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Карте коррупционных рисков представлены зоны повышенного коррупционного риска (коррупционно опасные полномочия),считающиеся наиболее (опасными) предрасполагающими к возникновению возможных коррупционных правонарушений.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29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Карте указан перечень должностей связанных с определенной зоной повышенного коррупционного риска (коррупционно опасными полномочиями).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29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правонарушения.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299" w:val="left"/>
        </w:tabs>
        <w:bidi w:val="0"/>
        <w:spacing w:before="0" w:after="0" w:line="240" w:lineRule="auto"/>
        <w:ind w:left="0" w:right="0" w:firstLine="74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122" w:left="991" w:right="806" w:bottom="1122" w:header="694" w:footer="694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каждой зоне повышенного коррупционного риска (коррупционно опасных полномочий) предложены меры по устранению и минимизации коррупционно опасных функций.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КАРТА КОРРУПЦИОННЫХ РИСКОВ</w:t>
        <w:br/>
        <w:t>перечень коррупционных рисков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60" w:right="0" w:hanging="5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Карта коррупционных рисков в ФГУП «ЦНИИчермет им. И.П.Бардина»(далее -Институт) Разработана в соответствии со статьей 13.3 Федерального закона от 25 декабря 2008 г. N 273-ФЗ «О противодействии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коррупции» и иных нормативных актов Российской Федерации.</w:t>
      </w:r>
    </w:p>
    <w:tbl>
      <w:tblPr>
        <w:tblOverlap w:val="never"/>
        <w:jc w:val="center"/>
        <w:tblLayout w:type="fixed"/>
      </w:tblPr>
      <w:tblGrid>
        <w:gridCol w:w="739"/>
        <w:gridCol w:w="2414"/>
        <w:gridCol w:w="1920"/>
        <w:gridCol w:w="4877"/>
        <w:gridCol w:w="1622"/>
        <w:gridCol w:w="3754"/>
      </w:tblGrid>
      <w:tr>
        <w:trPr>
          <w:trHeight w:val="12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Коррупционно</w:t>
              <w:softHyphen/>
              <w:t>опасные полномочия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Типовые ситуации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Степень риска (низкая, средняя, высокая)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Меры по минимизации (устранению) коррупционного риска</w:t>
            </w:r>
          </w:p>
        </w:tc>
      </w:tr>
      <w:tr>
        <w:trPr>
          <w:trHeight w:val="25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деятельности Института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Директор, заместители директора, руководители структурных подразделений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Средняя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Информационная открытость Центра.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Соблюдение утвержденной антикоррупционной политики Института.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Разъяснение работникам Института о мерах ответственности за совершение коррупционных правонарушений.</w:t>
            </w:r>
          </w:p>
        </w:tc>
      </w:tr>
      <w:tr>
        <w:trPr>
          <w:trHeight w:val="17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Принятие на работу сотрудников.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Заместители директора, руководители структурных подразделений, начальник отдела кадров.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не предусмотренных законом преимуществ (протекционизм, семейственность) для поступления на работу в Институт.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Низкая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Разъяснительная работа с ответственными лицами о мерах ответственности за совершение коррупционных правонарушений.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собеседования при приеме на работу.</w:t>
            </w:r>
          </w:p>
        </w:tc>
      </w:tr>
      <w:tr>
        <w:trPr>
          <w:trHeight w:val="3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Работа со служебной информацией.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Директор, Заместители директора, руководители структурных подразделений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Попытка несанкционированного доступа к информационным ресурсам.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Средняя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Соблюдение, утвержденной антикоррупционной политики Института.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Ознакомление с нормативными документами, регламентирующими вопросы предупреждения и противодействия коррупции в Институте.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Разъяснение работникам Института о мерах ответственности за совершение коррупционных правонарушений.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39"/>
        <w:gridCol w:w="2419"/>
        <w:gridCol w:w="1910"/>
        <w:gridCol w:w="4877"/>
        <w:gridCol w:w="1622"/>
        <w:gridCol w:w="3754"/>
      </w:tblGrid>
      <w:tr>
        <w:trPr>
          <w:trHeight w:val="18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Обращения юридических и физических лиц.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Директор, заместители директора, лица, ответственные за рассмотрение обращений.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Нарушение установленного порядка рассмотрения обращений граждан и юридических лиц.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Средняя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>
        <w:trPr>
          <w:trHeight w:val="25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Взаимоотношения с должностными лицами в органах власти и управления, пра воохранител ьны м и органами и другими организациями.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Директор, заместители директора, работники Института, уполномоченные директором представлять интересы Института.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Низкая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Соблюдение, утвержденной антикоррупционной политики Института.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Ознакомление с нормативными документами, регламентирующими вопросы предупреждения и противодействия коррупции в Институте.</w:t>
            </w:r>
          </w:p>
        </w:tc>
      </w:tr>
      <w:tr>
        <w:trPr>
          <w:trHeight w:val="3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11ринятие решений об использовании бюджетных средств и средств, от приносящей доход деятельности.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Директор, главный бухгалтер, заместители директора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Нецелевое использование бюджетных средств и средств, от приносящей доход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Низкая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решений представителей структурных подразделений учреждения.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Ознакомление с нормативными документами, регламентирующими вопросы предупреждения и противодействия коррупции в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Центре.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Разъяснительная работа о мерах ответственности за совершение коррупционных правонарушений.</w:t>
            </w:r>
          </w:p>
        </w:tc>
      </w:tr>
      <w:tr>
        <w:trPr>
          <w:trHeight w:val="30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Главный бухгалтер, работники бухгалтерии, материально</w:t>
              <w:softHyphen/>
              <w:t>ответственные лица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Несвоевременная постановка на регистрационный учет материальных ценностей.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Средняя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работы по контролю за деятельностью структурных подразделений с участие представителей иных структурных подразделений Института.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Ознакомление с нормативными документами, регламентирующими вопросы предупреждения и противодействия коррупции в Институте.</w:t>
            </w:r>
          </w:p>
        </w:tc>
      </w:tr>
    </w:tbl>
    <w:p>
      <w:pPr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6840" w:h="11900" w:orient="landscape"/>
          <w:pgMar w:top="980" w:left="770" w:right="706" w:bottom="26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49"/>
        <w:gridCol w:w="2414"/>
        <w:gridCol w:w="1915"/>
        <w:gridCol w:w="4882"/>
        <w:gridCol w:w="1622"/>
        <w:gridCol w:w="3763"/>
      </w:tblGrid>
      <w:tr>
        <w:trPr>
          <w:trHeight w:val="96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Осуществление закупок, заключение контрактов и других гражда нско-п равовых договоров на поставку товаров, выполнение работ, оказание услуг для Института.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Директор, главный бухгалтер, работник, ответе! венный за размещение заказов по закупкам товаров, работ, услуг для нужд Института.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Расстановка мнимых приоритетов по предмету, объемам, срокам удовлетворения потребности;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определение объема необходимых средств; необоснованное расширение(ограничение)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расширение(ограничение) упрощение (усложнение) необходимых условий контракта и оговорок относи гельно их исполнения;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необоснованное завышение (занижение) цены объекта закупок;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необоснованное усложнение (упрощение) процедур определения поставщика; неприемлемые критерии допуска и отбора поставщика, отсутствие или размытый перечень необходимых критериев допуска и отбора;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размещение заказа аврально в конце года (квартала);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необоснованное затягивание или ускорение процесса осуществления закупок;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совершение сделок с нарушением установленного порядка требований закона в личных интересах;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заключение договоров без соблюдения установленной процедуры;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отказ от проведения мониторинга цен на товары и услуги;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предоставление заведомо ложных сведений о проведении мониторинга цен на товары и услуги.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Средняя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Соблюдение при проведении закупок товаров. Работ и услуг для нужд Института требований по заключению договоров с контрагентами в соответствии с федеральными законами. Разъяснение работникам Института, связанным с заключением контрактов и договоров, о мерах ответственности за совершение коррупционных правонарушений.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Ознакомление с нормативными документами, регламентирующими вопросы предупреждения и противодействия коррупции в Институте.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39"/>
        <w:gridCol w:w="2414"/>
        <w:gridCol w:w="1920"/>
        <w:gridCol w:w="4872"/>
        <w:gridCol w:w="1622"/>
        <w:gridCol w:w="3758"/>
      </w:tblGrid>
      <w:tr>
        <w:trPr>
          <w:trHeight w:val="40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Составление, заполнение документов, справок, отчетности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Заместители директора, руководители структурных подразделений, ответственные лица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Искажение, сокрытие или предоставление заведомо ложных сведений в отчетных документах, а также в выдаваемых гражданам справках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Средняя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Система визирования документов ответственными лицами.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 Рассмотрение на Комиссии по антикоррупционной политике (выборочно)</w:t>
            </w:r>
          </w:p>
        </w:tc>
      </w:tr>
      <w:tr>
        <w:trPr>
          <w:trHeight w:val="30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Работники бухгалтерии, заместители директора, руководители структурных подразделений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рабочего времени не в полном объеме. Оплата рабочего времени в полном объ ме в случае, когда сотрудник фактически отсутствовал на рабочем месте.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Средняя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Создание и работа эксперт ной комиссии по установлению стимулирующих выплат работникам Института. Использование средств на оплату груда в строгом соответствии с 1 Сложением об оплате труда работников Института. Разъяснение ответственным лицам о мерах ответственности за совершение коррупционных правонарушений.</w:t>
            </w:r>
          </w:p>
        </w:tc>
      </w:tr>
      <w:tr>
        <w:trPr>
          <w:trHeight w:val="18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Доведение процедуры аттестации сотрудников Проведение оценки эффективности деятельности сотрудников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Директор, заместители директора, главный бухгалтер, руководители подразделений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Необъективная оценка деятельности работников, завышение результативности труда, влияющее на уровень оплаты труда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Средняя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Регламентация процедур аттестации, оценки эффективности деятельности Прозрачность системы оценки</w:t>
            </w:r>
          </w:p>
        </w:tc>
      </w:tr>
    </w:tbl>
    <w:sectPr>
      <w:headerReference w:type="default" r:id="rId7"/>
      <w:headerReference w:type="even" r:id="rId8"/>
      <w:footnotePr>
        <w:pos w:val="pageBottom"/>
        <w:numFmt w:val="decimal"/>
        <w:numRestart w:val="continuous"/>
      </w:footnotePr>
      <w:pgSz w:w="16840" w:h="11900" w:orient="landscape"/>
      <w:pgMar w:top="980" w:left="770" w:right="706" w:bottom="2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9117965</wp:posOffset>
              </wp:positionH>
              <wp:positionV relativeFrom="page">
                <wp:posOffset>424815</wp:posOffset>
              </wp:positionV>
              <wp:extent cx="1078865" cy="13398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78865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Приложение №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7.95000000000005pt;margin-top:33.450000000000003pt;width:84.950000000000003pt;height:10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Приложение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9117965</wp:posOffset>
              </wp:positionH>
              <wp:positionV relativeFrom="page">
                <wp:posOffset>424815</wp:posOffset>
              </wp:positionV>
              <wp:extent cx="1078865" cy="13398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78865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Приложение №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17.95000000000005pt;margin-top:33.450000000000003pt;width:84.950000000000003pt;height:10.5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Приложение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9099550</wp:posOffset>
              </wp:positionH>
              <wp:positionV relativeFrom="page">
                <wp:posOffset>421640</wp:posOffset>
              </wp:positionV>
              <wp:extent cx="1078865" cy="13716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78865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11риложение №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16.5pt;margin-top:33.200000000000003pt;width:84.950000000000003pt;height:10.8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11риложение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1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Колонтитул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Другое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ind w:left="268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
</file>