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ind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№1 к приказу от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&amp;Л^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.2017№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представления сведений о доходах, расходах, об имуществе и</w:t>
        <w:br/>
        <w:t>обязательствах имущественного характера гражданами и работникам,</w:t>
        <w:br/>
        <w:t>претендующими на замещение должностей в ФГУП «ЦНИИчермег им.</w:t>
        <w:br/>
        <w:t>Н.П.Бардина», назначение на которые осуществляет Генеральный</w:t>
        <w:br/>
        <w:t>директор.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95" w:val="left"/>
        </w:tabs>
        <w:bidi w:val="0"/>
        <w:spacing w:before="0" w:after="30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2" w:val="left"/>
        </w:tabs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Порядок предоставления сведений о доходах, расходах, об имуществе и обязательствах имущественного характера гражданам и работникам претендующим на замещение должностей в ФГУП «ЦНИИчермет им. И.П.Бардина»,назначение на которые осуществляет Генеральный директор (далее Порядок) устанавливает процедуру предоставления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супруга) и несовершеннолетних детей (далее - 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Работники, назначение на должность которых осуществляет руководитель предприятия, направляют сведения о доходах и расходах уполномоченному должностному лицу ответственному за работу по профилактике коррупционных и иных правонарушений коррупционного характера.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5" w:val="left"/>
        </w:tabs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 и расходах представляются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95" w:val="left"/>
        </w:tabs>
        <w:bidi w:val="0"/>
        <w:spacing w:before="0" w:after="34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II Представление сведений гражданами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7" w:val="left"/>
        </w:tabs>
        <w:bidi w:val="0"/>
        <w:spacing w:before="0" w:after="0" w:line="26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Гражданин представляет: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97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97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7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Представление сведений о доходах гражданами производится в кадровое подразделение организации при оформлении заявления о рассмотрении возможности приема их на работу.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2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представленные лицами, претендующими на замещение должностей, включенных в пункт «а» Перечня должностей в организациях, созданных для выполнения задач, поставленных перед ФГУ « ЦНИИчермет им. И.П.Бардина»,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направляются руководителем организации, осуществляющей прием гражданина на работу, должностным лицу ответственному за работу по профилактике коррупционных и иных правонарушений Минпромторга России.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7325" w:val="left"/>
          <w:tab w:pos="7690" w:val="left"/>
        </w:tabs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представленные лицами, претендующими на замещение должностей, включенных в пункты «б»</w:t>
        <w:tab/>
        <w:t>-</w:t>
        <w:tab/>
        <w:t>«д» Перечня,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направляются уполномоченному должностному лицу, ответственному за работу по профилактике коррупционных и иных правонарушений в организации.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5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случае если гражданин, представивший справки о своих доходах,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был назначен на должность, эти справки возвращаются ему по письменному заявлению вместе с другими документами.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III. Представление сведений работниками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 ежегодно, не позднее 30 апреля года, следующего за отчетным, представляет: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а)</w:t>
        <w:tab/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б)</w:t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в)</w:t>
        <w:tab/>
        <w:t>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 либо сведения, либо имеются ошибки, они вправе представить уточненные сведения в соответствии с настоящим Порядком.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 может представить уточненные сведения в течение одного месяца после окончания срока, указанного в пункте 8 настоящего Порядка. Гражданин может предоставить уточненные сведения в течение одного месяца со дня предоставления сведений в соответствии с пунктом 4 настоящего Порядком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Работник, замещающий должность, не включенную в Перечень, и претендующий на замещение должности, включенной в Перечень (далее - Кандидат), представляет указанные сведения в соответствии с главой II настоящего Порядка.</w:t>
      </w:r>
    </w:p>
    <w:p>
      <w:pPr>
        <w:pStyle w:val="Style5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работников и урегулированию конфликта интересов.</w:t>
      </w:r>
    </w:p>
    <w:p>
      <w:pPr>
        <w:pStyle w:val="Style5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</w:t>
      </w:r>
    </w:p>
    <w:p>
      <w:pPr>
        <w:pStyle w:val="Style5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Сведения о доходах (расходах), представляемые в соответствии с настоящим Порядком работником (гражданином, кандидатом), являются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>
      <w:pPr>
        <w:pStyle w:val="Style5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30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непредставления или представления заведомо ложных сведений о доходах (расходах) гражданин не может быть назначен на должность в организации, а работник освобождается от должности в организации или подвергается иным видам дисциплинарной ответственности в соответствии с законодательством Российской Федерации.</w:t>
      </w:r>
    </w:p>
    <w:p>
      <w:pPr>
        <w:pStyle w:val="Style5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306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Уполномоченное должностное лицо, ответственное за работу по профилактике коррупционных и иных правонарушений в организации, организует размещение сведений о доходах работников, включенных в пункты «б» - «д» Перечня, в сети Интернет на официальном сайте организации,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№ 613.</w:t>
      </w:r>
    </w:p>
    <w:sectPr>
      <w:footnotePr>
        <w:pos w:val="pageBottom"/>
        <w:numFmt w:val="decimal"/>
        <w:numRestart w:val="continuous"/>
      </w:footnotePr>
      <w:pgSz w:w="11900" w:h="16840"/>
      <w:pgMar w:top="1191" w:left="1618" w:right="735" w:bottom="853" w:header="763" w:footer="42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before="140" w:after="300" w:line="276" w:lineRule="auto"/>
      <w:ind w:left="628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